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ИФНС </w:t>
            </w: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24 по Санкт-Петербургу</w:t>
            </w: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proofErr w:type="spellStart"/>
            <w:r>
              <w:rPr>
                <w:rFonts w:ascii="Times New Roman" w:hAnsi="Times New Roman"/>
                <w:u w:val="single"/>
              </w:rPr>
              <w:t>В.Д.Костина</w:t>
            </w:r>
            <w:proofErr w:type="spellEnd"/>
          </w:p>
          <w:p>
            <w:pPr>
              <w:pStyle w:val="a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"___"_________2021 г.</w:t>
            </w:r>
          </w:p>
          <w:p/>
        </w:tc>
      </w:tr>
    </w:tbl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 специалиста 2 разряда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отдела  регистрации и учета налогоплательщиков 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Межрайонной ИФНС России № 24 по Санкт-Петербургу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>
      <w:pPr>
        <w:jc w:val="center"/>
      </w:pPr>
    </w:p>
    <w:p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>
      <w:pPr>
        <w:rPr>
          <w:sz w:val="26"/>
          <w:szCs w:val="26"/>
        </w:rPr>
      </w:pP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старший специалист 2 разряда отдела регистрации и учета налогоплательщиков Межрайонной ИФНС России № 24 по Санкт-Петербургу (далее–старший специалист 2 разряда) относится к старшей группе должностей гражданской службы категории "обеспечивающие специалисты".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Область профессиональной служебной деятельности старшего специалиста 2 разряда отдела регистрации и учета налогоплательщиков: регулирование налоговой деятельности.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3. Вид профессиональной служебной деятельности гражданского служащего: </w:t>
      </w:r>
      <w:r>
        <w:rPr>
          <w:rFonts w:eastAsia="Calibri"/>
          <w:sz w:val="26"/>
          <w:szCs w:val="26"/>
          <w:lang w:eastAsia="en-US"/>
        </w:rPr>
        <w:t>Администрирование вопросов правильности исчисления, полноты и своевременности уплаты налогов и сборов.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Назначение на должность и освобождение от должности  старшего специалиста 2 разряда осуществляются приказом Межрайонной ИФНС России № 24 по Санкт-Петербургу (далее - Инспекция).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 Старший специалист 2 разряда  непосредственно подчиняется начальнику отдела.</w:t>
      </w:r>
    </w:p>
    <w:p>
      <w:pPr>
        <w:ind w:firstLine="567"/>
        <w:jc w:val="both"/>
        <w:rPr>
          <w:sz w:val="26"/>
          <w:szCs w:val="26"/>
        </w:rPr>
      </w:pP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для замещения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должности гражданской службы</w:t>
      </w:r>
    </w:p>
    <w:p>
      <w:pPr>
        <w:ind w:firstLine="720"/>
        <w:jc w:val="both"/>
      </w:pP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Для замещения должности старшего специалиста 2 разряда устанавливаются следующие требования:</w:t>
      </w:r>
    </w:p>
    <w:p>
      <w:pPr>
        <w:tabs>
          <w:tab w:val="left" w:pos="720"/>
        </w:tabs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6.1. Наличие профессионального образования</w:t>
      </w:r>
      <w:r>
        <w:rPr>
          <w:sz w:val="26"/>
          <w:szCs w:val="26"/>
        </w:rPr>
        <w:t xml:space="preserve"> соответствующего направлению деятельности отдела.</w:t>
      </w:r>
    </w:p>
    <w:p>
      <w:pPr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>6.2. 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eastAsia="Calibri"/>
            <w:sz w:val="26"/>
            <w:szCs w:val="26"/>
            <w:lang w:eastAsia="en-US"/>
          </w:rPr>
          <w:t>Конституции</w:t>
        </w:r>
      </w:hyperlink>
      <w:r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</w:t>
      </w:r>
      <w:r>
        <w:rPr>
          <w:rFonts w:eastAsia="Calibri"/>
          <w:sz w:val="26"/>
          <w:szCs w:val="26"/>
          <w:lang w:eastAsia="en-US"/>
        </w:rPr>
        <w:lastRenderedPageBreak/>
        <w:t xml:space="preserve">Федерального </w:t>
      </w:r>
      <w:hyperlink r:id="rId10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в области информационно-коммуникационных технологий</w:t>
      </w:r>
      <w:r>
        <w:rPr>
          <w:rFonts w:eastAsia="Calibri"/>
          <w:spacing w:val="-2"/>
          <w:sz w:val="26"/>
          <w:szCs w:val="26"/>
          <w:lang w:eastAsia="en-US"/>
        </w:rPr>
        <w:t>.</w:t>
      </w:r>
    </w:p>
    <w:p>
      <w:pPr>
        <w:widowControl w:val="0"/>
        <w:ind w:left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2" w:history="1">
        <w:proofErr w:type="gramStart"/>
        <w:r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</w:t>
      </w:r>
      <w:r>
        <w:rPr>
          <w:sz w:val="26"/>
          <w:szCs w:val="26"/>
        </w:rPr>
        <w:t xml:space="preserve">Гражданского кодекса Российской Федерации; </w:t>
      </w:r>
      <w:hyperlink r:id="rId14" w:history="1">
        <w:r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 xml:space="preserve">а Российской Федерации об административных правонарушениях от 30 декабря 2001 г. N 195-ФЗ; </w:t>
      </w:r>
      <w:r>
        <w:rPr>
          <w:rFonts w:eastAsia="Calibri"/>
          <w:sz w:val="26"/>
          <w:szCs w:val="26"/>
          <w:lang w:eastAsia="en-US"/>
        </w:rPr>
        <w:t xml:space="preserve">Федерального </w:t>
      </w:r>
      <w:hyperlink r:id="rId15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8 августа 2001 г. N 129-ФЗ "О государственной регистрации юридических лиц и индивидуальных предпринимателей"; Федерального </w:t>
      </w:r>
      <w:hyperlink r:id="rId16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от 8 февраля 1998 г. N 14-ФЗ "Об обществах с ограниченной ответственностью"; Федерального </w:t>
      </w:r>
      <w:hyperlink r:id="rId17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26 декабря 1995 г. N 208-ФЗ "Об акционерных обществах"; Федерального </w:t>
      </w:r>
      <w:hyperlink r:id="rId18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27 июля 2010 г. N 210-ФЗ "Об организации предоставления государственных и муниципальных услуг"; </w:t>
      </w:r>
      <w:r>
        <w:rPr>
          <w:sz w:val="26"/>
          <w:szCs w:val="26"/>
        </w:rPr>
        <w:t xml:space="preserve">Федерального </w:t>
      </w:r>
      <w:hyperlink r:id="rId19" w:history="1">
        <w:proofErr w:type="gramStart"/>
        <w:r>
          <w:rPr>
            <w:sz w:val="26"/>
            <w:szCs w:val="26"/>
          </w:rPr>
          <w:t>закон</w:t>
        </w:r>
        <w:proofErr w:type="gramEnd"/>
      </w:hyperlink>
      <w:r>
        <w:rPr>
          <w:sz w:val="26"/>
          <w:szCs w:val="26"/>
        </w:rPr>
        <w:t xml:space="preserve">а от 10 декабря 2003 г. N 173-ФЗ "О валютном регулировании и валютном контроле"; </w:t>
      </w:r>
      <w:r>
        <w:rPr>
          <w:rFonts w:eastAsia="Calibri"/>
          <w:sz w:val="26"/>
          <w:szCs w:val="26"/>
          <w:lang w:eastAsia="en-US"/>
        </w:rPr>
        <w:t xml:space="preserve">Федерального </w:t>
      </w:r>
      <w:hyperlink r:id="rId20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</w:t>
      </w:r>
      <w:hyperlink r:id="rId21" w:history="1">
        <w:r>
          <w:rPr>
            <w:sz w:val="26"/>
            <w:szCs w:val="26"/>
          </w:rPr>
          <w:t>постановление</w:t>
        </w:r>
      </w:hyperlink>
      <w:proofErr w:type="gramStart"/>
      <w:r>
        <w:rPr>
          <w:sz w:val="26"/>
          <w:szCs w:val="26"/>
        </w:rPr>
        <w:t>м</w:t>
      </w:r>
      <w:proofErr w:type="gramEnd"/>
      <w:r>
        <w:rPr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22" w:history="1">
        <w:r>
          <w:rPr>
            <w:rFonts w:eastAsia="Calibri"/>
            <w:sz w:val="26"/>
            <w:szCs w:val="26"/>
            <w:lang w:eastAsia="en-US"/>
          </w:rPr>
          <w:t>постановление</w:t>
        </w:r>
      </w:hyperlink>
      <w:proofErr w:type="gramStart"/>
      <w:r>
        <w:rPr>
          <w:rFonts w:eastAsia="Calibri"/>
          <w:sz w:val="26"/>
          <w:szCs w:val="26"/>
          <w:lang w:eastAsia="en-US"/>
        </w:rPr>
        <w:t>м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hyperlink r:id="rId23" w:history="1">
        <w:r>
          <w:rPr>
            <w:sz w:val="26"/>
            <w:szCs w:val="26"/>
          </w:rPr>
          <w:t>постановление</w:t>
        </w:r>
      </w:hyperlink>
      <w:proofErr w:type="gramStart"/>
      <w:r>
        <w:rPr>
          <w:sz w:val="26"/>
          <w:szCs w:val="26"/>
        </w:rPr>
        <w:t>м</w:t>
      </w:r>
      <w:proofErr w:type="gramEnd"/>
      <w:r>
        <w:rPr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</w:t>
      </w:r>
      <w:hyperlink r:id="rId24" w:history="1">
        <w:r>
          <w:rPr>
            <w:rFonts w:eastAsia="Calibri"/>
            <w:sz w:val="26"/>
            <w:szCs w:val="26"/>
            <w:lang w:eastAsia="en-US"/>
          </w:rPr>
          <w:t>постановление</w:t>
        </w:r>
      </w:hyperlink>
      <w:proofErr w:type="gramStart"/>
      <w:r>
        <w:rPr>
          <w:rFonts w:eastAsia="Calibri"/>
          <w:sz w:val="26"/>
          <w:szCs w:val="26"/>
          <w:lang w:eastAsia="en-US"/>
        </w:rPr>
        <w:t>м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25" w:history="1"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 xml:space="preserve">ом Минфина России от 8 апреля 2005 г. N 55н "О порядке постановки на учет налогоплательщиков налога на игорный бизнес", </w:t>
      </w:r>
      <w:hyperlink r:id="rId26" w:history="1"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 xml:space="preserve">ом Минфина России от 11 июля 2005 г. N 85н "Об утверждении особенностей постановки на учет крупнейших налогоплательщиков"; </w:t>
      </w:r>
      <w:hyperlink r:id="rId27" w:history="1">
        <w:proofErr w:type="gramStart"/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>ом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</w:t>
      </w:r>
      <w:hyperlink r:id="rId28" w:history="1">
        <w:proofErr w:type="gramStart"/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 </w:t>
      </w:r>
      <w:hyperlink r:id="rId29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30 декабря 2014 г. N </w:t>
      </w:r>
      <w:r>
        <w:rPr>
          <w:rFonts w:eastAsia="Calibri"/>
          <w:sz w:val="26"/>
          <w:szCs w:val="26"/>
          <w:lang w:eastAsia="en-US"/>
        </w:rPr>
        <w:lastRenderedPageBreak/>
        <w:t>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</w:t>
      </w:r>
      <w:hyperlink r:id="rId30" w:history="1">
        <w:r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 xml:space="preserve">ом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</w:t>
      </w:r>
      <w:hyperlink r:id="rId31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hyperlink r:id="rId32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hyperlink r:id="rId33" w:history="1">
        <w:proofErr w:type="gramStart"/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ом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 </w:t>
      </w:r>
      <w:hyperlink r:id="rId34" w:history="1"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>ом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</w:t>
      </w:r>
      <w:hyperlink r:id="rId35" w:history="1">
        <w:proofErr w:type="gramStart"/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денежных средств, а также об изменении реквизитов корпоративного электронного средства платежа"; Федерального </w:t>
      </w:r>
      <w:hyperlink r:id="rId36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37" w:history="1">
        <w:proofErr w:type="gramStart"/>
        <w:r>
          <w:rPr>
            <w:rFonts w:eastAsia="Calibri"/>
            <w:sz w:val="26"/>
            <w:szCs w:val="26"/>
            <w:lang w:eastAsia="en-US"/>
          </w:rPr>
          <w:t>приказ</w:t>
        </w:r>
      </w:hyperlink>
      <w:r>
        <w:rPr>
          <w:rFonts w:eastAsia="Calibri"/>
          <w:sz w:val="26"/>
          <w:szCs w:val="26"/>
          <w:lang w:eastAsia="en-US"/>
        </w:rPr>
        <w:t>ом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rPr>
          <w:rFonts w:eastAsia="Calibri"/>
          <w:sz w:val="26"/>
          <w:szCs w:val="26"/>
          <w:lang w:eastAsia="en-US"/>
        </w:rPr>
        <w:t xml:space="preserve">, </w:t>
      </w:r>
      <w:proofErr w:type="gramStart"/>
      <w:r>
        <w:rPr>
          <w:rFonts w:eastAsia="Calibri"/>
          <w:sz w:val="26"/>
          <w:szCs w:val="26"/>
          <w:lang w:eastAsia="en-US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6.3.2. </w:t>
      </w:r>
      <w:proofErr w:type="gramStart"/>
      <w:r>
        <w:rPr>
          <w:rFonts w:eastAsia="Calibri"/>
          <w:sz w:val="26"/>
          <w:szCs w:val="26"/>
          <w:lang w:eastAsia="en-US"/>
        </w:rPr>
        <w:t>Иные профессиональные знания: основы экономики, финансов и кредита, бухгалтерского и налогового учета; основы налогообложения;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порядок формирования и ведения Единого государственного реестра налогоплательщиков (ЕГРН); порядок формирования и </w:t>
      </w:r>
      <w:r>
        <w:rPr>
          <w:rFonts w:eastAsia="Calibri"/>
          <w:sz w:val="26"/>
          <w:szCs w:val="26"/>
          <w:lang w:eastAsia="en-US"/>
        </w:rPr>
        <w:lastRenderedPageBreak/>
        <w:t>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>6.4. 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функциональных знаний: </w:t>
      </w:r>
      <w:r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выполнять ее; коммуникативные умения.</w:t>
      </w:r>
    </w:p>
    <w:p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6.6. Наличие профессиональных умений: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>
        <w:rPr>
          <w:rFonts w:eastAsia="Calibri"/>
          <w:sz w:val="26"/>
          <w:szCs w:val="26"/>
          <w:lang w:eastAsia="en-US"/>
        </w:rPr>
        <w:t>контролю за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>
      <w:pPr>
        <w:autoSpaceDE w:val="0"/>
        <w:autoSpaceDN w:val="0"/>
        <w:adjustRightInd w:val="0"/>
        <w:ind w:firstLine="283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6.7. Наличие функциональных умений: выполнения поставленных руководством задач;  эффективное планирование служебного времени, анализ и прогнозирование деятельности в порученной сфере; 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почтой. </w:t>
      </w:r>
    </w:p>
    <w:p>
      <w:pPr>
        <w:pStyle w:val="1"/>
        <w:tabs>
          <w:tab w:val="left" w:pos="14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III. Должностные обязанности, права и ответственность</w:t>
      </w:r>
    </w:p>
    <w:p>
      <w:pPr>
        <w:ind w:firstLine="720"/>
        <w:jc w:val="both"/>
        <w:rPr>
          <w:sz w:val="28"/>
          <w:szCs w:val="28"/>
        </w:rPr>
      </w:pP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>
          <w:rPr>
            <w:rStyle w:val="ab"/>
            <w:b w:val="0"/>
            <w:color w:val="auto"/>
            <w:sz w:val="26"/>
            <w:szCs w:val="26"/>
          </w:rPr>
          <w:t>статьями 14</w:t>
        </w:r>
      </w:hyperlink>
      <w:r>
        <w:rPr>
          <w:sz w:val="26"/>
          <w:szCs w:val="26"/>
        </w:rPr>
        <w:t xml:space="preserve">, </w:t>
      </w:r>
      <w:hyperlink r:id="rId39" w:history="1">
        <w:r>
          <w:rPr>
            <w:rStyle w:val="ab"/>
            <w:b w:val="0"/>
            <w:color w:val="auto"/>
            <w:sz w:val="26"/>
            <w:szCs w:val="26"/>
          </w:rPr>
          <w:t>15</w:t>
        </w:r>
      </w:hyperlink>
      <w:r>
        <w:rPr>
          <w:sz w:val="26"/>
          <w:szCs w:val="26"/>
        </w:rPr>
        <w:t xml:space="preserve">, </w:t>
      </w:r>
      <w:hyperlink r:id="rId40" w:history="1">
        <w:r>
          <w:rPr>
            <w:rStyle w:val="ab"/>
            <w:b w:val="0"/>
            <w:color w:val="auto"/>
            <w:sz w:val="26"/>
            <w:szCs w:val="26"/>
          </w:rPr>
          <w:t>17</w:t>
        </w:r>
      </w:hyperlink>
      <w:r>
        <w:rPr>
          <w:sz w:val="26"/>
          <w:szCs w:val="26"/>
        </w:rPr>
        <w:t xml:space="preserve">, </w:t>
      </w:r>
      <w:hyperlink r:id="rId41" w:history="1">
        <w:r>
          <w:rPr>
            <w:rStyle w:val="ab"/>
            <w:b w:val="0"/>
            <w:color w:val="auto"/>
            <w:sz w:val="26"/>
            <w:szCs w:val="26"/>
          </w:rPr>
          <w:t>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Федерации".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В целях реализации задач и </w:t>
      </w:r>
      <w:proofErr w:type="gramStart"/>
      <w:r>
        <w:rPr>
          <w:sz w:val="26"/>
          <w:szCs w:val="26"/>
        </w:rPr>
        <w:t>функций, возложенных на отдел регистрации и учета налогоплательщиков старший специалист 2 разряда обязан</w:t>
      </w:r>
      <w:proofErr w:type="gramEnd"/>
      <w:r>
        <w:rPr>
          <w:sz w:val="26"/>
          <w:szCs w:val="26"/>
        </w:rPr>
        <w:t>:</w:t>
      </w:r>
    </w:p>
    <w:p>
      <w:pPr>
        <w:ind w:firstLine="720"/>
        <w:jc w:val="both"/>
        <w:rPr>
          <w:iCs/>
          <w:sz w:val="26"/>
          <w:szCs w:val="26"/>
        </w:rPr>
      </w:pPr>
      <w:r>
        <w:rPr>
          <w:sz w:val="26"/>
          <w:szCs w:val="26"/>
          <w:lang w:eastAsia="en-US"/>
        </w:rPr>
        <w:t>- 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  <w:r>
        <w:rPr>
          <w:iCs/>
          <w:sz w:val="26"/>
          <w:szCs w:val="26"/>
        </w:rPr>
        <w:t xml:space="preserve"> </w:t>
      </w:r>
    </w:p>
    <w:p>
      <w:pPr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 xml:space="preserve">- осуществлять прием и выдачу документов по регистрации юридических лиц и учету налогоплательщиков; </w:t>
      </w:r>
    </w:p>
    <w:p>
      <w:pPr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осуществлять подготовку документов по  учету налогоплательщиков </w:t>
      </w:r>
      <w:r>
        <w:rPr>
          <w:bCs/>
          <w:sz w:val="26"/>
          <w:szCs w:val="26"/>
        </w:rPr>
        <w:t>с выдачей необходимых документов в соответствии с действующим законодательством (Свидетельства, Уведомления, информационные письма)</w:t>
      </w:r>
      <w:r>
        <w:rPr>
          <w:iCs/>
          <w:sz w:val="26"/>
          <w:szCs w:val="26"/>
        </w:rPr>
        <w:t>;</w:t>
      </w:r>
    </w:p>
    <w:p>
      <w:pPr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предоставлять информацию из ЕГРН по запросам правоохранительных органов, прочих организаций, граждан; </w:t>
      </w:r>
    </w:p>
    <w:p>
      <w:pPr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 осуществлять мероприятия по проверке достоверности сведений о юридических лицах, занесенных в ЕГРЮЛ;</w:t>
      </w:r>
    </w:p>
    <w:p>
      <w:pPr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 осуществлять мероприятия по обработке и подготовке ответов на обращения физических и юридических лиц;</w:t>
      </w:r>
    </w:p>
    <w:p>
      <w:pPr>
        <w:ind w:firstLine="72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 осуществлять мероприятия по актуализации персональных данных физических лиц;</w:t>
      </w:r>
    </w:p>
    <w:p>
      <w:pPr>
        <w:pStyle w:val="13"/>
        <w:shd w:val="clear" w:color="auto" w:fill="FFFFFF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- проводить работу с информацией об открытии (закрытии) банковских счетов налогоплательщиков, поступающей из банков и от налогоплательщиков;</w:t>
      </w:r>
    </w:p>
    <w:p>
      <w:pPr>
        <w:pStyle w:val="13"/>
        <w:shd w:val="clear" w:color="auto" w:fill="FFFFFF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- осуществлять контроль информации об открытии (закрытии) счетов налогоплательщиков в банковских учреждениях, поступающей от налогоплательщиков и банков. Вести учет бланков Сообщений на открытие (закрытие) счетов;</w:t>
      </w:r>
    </w:p>
    <w:p>
      <w:pPr>
        <w:pStyle w:val="13"/>
        <w:shd w:val="clear" w:color="auto" w:fill="FFFFFF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>
      <w:pPr>
        <w:pStyle w:val="13"/>
        <w:shd w:val="clear" w:color="auto" w:fill="FFFFFF"/>
        <w:tabs>
          <w:tab w:val="left" w:pos="0"/>
          <w:tab w:val="left" w:pos="851"/>
        </w:tabs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- подготовка информации о налогоплательщиках для предъявления исков в судебные органы о  признании недействительной государственной регистрации юридического лица.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 старший специалист 2 разряда  имеет право: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участвовать по своей инициативе в конкурсе на замещение вакантной государственной должности государственной службы; 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участвовать в обсуждении текущих и перспективных планов работы;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принимать участие в совещаниях по обсуждению вопросов, связанных с направлением деятельности отдела;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требовать в установленном порядке от начальников отделов и других должностных лиц инспекции представления материалов, сведений, необходимых для реализации возложенных на него обязанностей;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 представительствовать от имени отдела (инспекции) по вопросам, входящим в круг его обязанностей в территориальных налоговых органах и других организаций.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10. </w:t>
      </w:r>
      <w:proofErr w:type="gramStart"/>
      <w:r>
        <w:rPr>
          <w:rFonts w:ascii="Times New Roman" w:hAnsi="Times New Roman"/>
          <w:sz w:val="26"/>
          <w:szCs w:val="26"/>
        </w:rPr>
        <w:t>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  <w:proofErr w:type="gramEnd"/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Старший специалист 2 разряда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2" w:history="1">
        <w:r>
          <w:rPr>
            <w:rStyle w:val="ab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старший специалист 2 разряда  вправе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или обязан самостоятельно принимать управленческие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иные решения</w:t>
      </w:r>
    </w:p>
    <w:p>
      <w:pPr>
        <w:ind w:firstLine="720"/>
        <w:jc w:val="both"/>
        <w:rPr>
          <w:sz w:val="26"/>
          <w:szCs w:val="26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12.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старший специалист 2 разряда вправе самостоятельно принимать решения по вопросам: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13.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старший специалист 2 разряда обязан самостоятельно принимать решения по вопросам: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не вправе принимать управленческие решения.</w:t>
      </w:r>
    </w:p>
    <w:p>
      <w:pPr>
        <w:ind w:firstLine="720"/>
        <w:jc w:val="both"/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V. 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>
      <w:pPr>
        <w:ind w:firstLine="720"/>
        <w:jc w:val="both"/>
        <w:rPr>
          <w:sz w:val="26"/>
          <w:szCs w:val="26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14. Старший специалист 2 разряда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пределах функциональной компетенции принимает участие в подготовке решений в части налогообложения,</w:t>
      </w:r>
      <w:r>
        <w:t xml:space="preserve"> </w:t>
      </w:r>
      <w:r>
        <w:rPr>
          <w:sz w:val="26"/>
          <w:szCs w:val="26"/>
        </w:rPr>
        <w:t>участие в подготовке нормативных актов и (или) проектов управленческих и иных решений.</w:t>
      </w: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15. Старший специалист 2 разряда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положений об инспекции и отделе;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 руководства инспекции.</w:t>
      </w:r>
    </w:p>
    <w:p>
      <w:pPr>
        <w:ind w:firstLine="720"/>
        <w:jc w:val="both"/>
        <w:rPr>
          <w:sz w:val="26"/>
          <w:szCs w:val="26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</w:t>
      </w:r>
      <w:r>
        <w:rPr>
          <w:rFonts w:eastAsia="Calibri"/>
          <w:b/>
          <w:sz w:val="26"/>
          <w:szCs w:val="26"/>
          <w:lang w:eastAsia="en-US"/>
        </w:rPr>
        <w:br/>
        <w:t xml:space="preserve">управленческих и иных решений, порядок согласования и 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>
      <w:pPr>
        <w:ind w:right="17" w:firstLine="567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16. </w:t>
      </w:r>
      <w:r>
        <w:rPr>
          <w:rFonts w:eastAsia="Calibri"/>
          <w:bCs/>
          <w:sz w:val="26"/>
          <w:szCs w:val="26"/>
          <w:lang w:eastAsia="en-US"/>
        </w:rPr>
        <w:t>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lastRenderedPageBreak/>
        <w:t>VII. Порядок служебного взаимодействия</w:t>
      </w:r>
    </w:p>
    <w:p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>
      <w:pPr>
        <w:ind w:firstLine="720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17. </w:t>
      </w:r>
      <w:proofErr w:type="gramStart"/>
      <w:r>
        <w:rPr>
          <w:sz w:val="26"/>
          <w:szCs w:val="26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>
          <w:rPr>
            <w:rStyle w:val="ab"/>
            <w:b w:val="0"/>
            <w:color w:val="000000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44" w:history="1">
        <w:r>
          <w:rPr>
            <w:rStyle w:val="ab"/>
            <w:b w:val="0"/>
            <w:color w:val="000000"/>
            <w:sz w:val="26"/>
            <w:szCs w:val="26"/>
          </w:rPr>
          <w:t>Указом</w:t>
        </w:r>
      </w:hyperlink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5" w:history="1">
        <w:r>
          <w:rPr>
            <w:rStyle w:val="ab"/>
            <w:b w:val="0"/>
            <w:color w:val="000000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 В соответствии с замещаемой должностью и в пределах функциональной компетенции, старший специалист 2 разряда выполняет организационное обеспечение оказания следующих видов государственных услуг: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налогоплательщиков;</w:t>
      </w:r>
    </w:p>
    <w:p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>
        <w:rPr>
          <w:rFonts w:eastAsia="Calibri"/>
          <w:sz w:val="26"/>
          <w:szCs w:val="26"/>
          <w:lang w:eastAsia="en-US"/>
        </w:rPr>
        <w:t>иных услуг.</w:t>
      </w:r>
    </w:p>
    <w:p>
      <w:pPr>
        <w:ind w:firstLine="720"/>
        <w:jc w:val="both"/>
        <w:rPr>
          <w:sz w:val="26"/>
          <w:szCs w:val="26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19. </w:t>
      </w:r>
      <w:r>
        <w:rPr>
          <w:rFonts w:eastAsia="Calibri"/>
          <w:sz w:val="26"/>
          <w:szCs w:val="26"/>
          <w:lang w:eastAsia="en-US"/>
        </w:rPr>
        <w:t>Эффективность и результативность профессиональной служебной деятельности старшего специалиста 2 разряда оценивается по следующим показателям: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>
      <w:headerReference w:type="even" r:id="rId46"/>
      <w:headerReference w:type="default" r:id="rId47"/>
      <w:footerReference w:type="default" r:id="rId48"/>
      <w:footerReference w:type="first" r:id="rId49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22.07.2021 9:12</w:t>
    </w:r>
    <w:r>
      <w:rPr>
        <w:i/>
        <w:color w:val="FFFFFF"/>
        <w:sz w:val="16"/>
      </w:rPr>
      <w:fldChar w:fldCharType="end"/>
    </w:r>
  </w:p>
  <w:p>
    <w:pPr>
      <w:pStyle w:val="a9"/>
      <w:rPr>
        <w:color w:val="FFFFFF"/>
      </w:rPr>
    </w:pPr>
    <w:proofErr w:type="spellStart"/>
    <w:r>
      <w:rPr>
        <w:i/>
        <w:color w:val="FFFFFF"/>
        <w:sz w:val="16"/>
        <w:lang w:val="en-US"/>
      </w:rPr>
      <w:t>buro</w:t>
    </w:r>
    <w:proofErr w:type="spellEnd"/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Старший спец 2 разряда Хуснутдинова</w:t>
    </w:r>
    <w:r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22.07.2021 9:12</w:t>
    </w:r>
    <w:r>
      <w:rPr>
        <w:i/>
        <w:color w:val="FFFFFF"/>
        <w:sz w:val="16"/>
      </w:rPr>
      <w:fldChar w:fldCharType="end"/>
    </w:r>
  </w:p>
  <w:p>
    <w:pPr>
      <w:pStyle w:val="a9"/>
      <w:rPr>
        <w:color w:val="FFFFFF"/>
      </w:rPr>
    </w:pPr>
    <w:proofErr w:type="spellStart"/>
    <w:r>
      <w:rPr>
        <w:i/>
        <w:color w:val="FFFFFF"/>
        <w:sz w:val="16"/>
        <w:lang w:val="en-US"/>
      </w:rPr>
      <w:t>buro</w:t>
    </w:r>
    <w:proofErr w:type="spellEnd"/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Старший спец 2 разряда Хуснутдинова</w:t>
    </w:r>
    <w:r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86184"/>
    <w:multiLevelType w:val="hybridMultilevel"/>
    <w:tmpl w:val="B3C287D6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6C56D6"/>
    <w:multiLevelType w:val="hybridMultilevel"/>
    <w:tmpl w:val="468E3DDC"/>
    <w:lvl w:ilvl="0" w:tplc="8C6C7B62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187AD4"/>
    <w:multiLevelType w:val="hybridMultilevel"/>
    <w:tmpl w:val="00DE9226"/>
    <w:lvl w:ilvl="0" w:tplc="513845B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449D7F8B"/>
    <w:multiLevelType w:val="hybridMultilevel"/>
    <w:tmpl w:val="E3CEF4A8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567CAA"/>
    <w:multiLevelType w:val="hybridMultilevel"/>
    <w:tmpl w:val="F93AB342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customStyle="1" w:styleId="31">
    <w:name w:val="Основной текст 31"/>
    <w:basedOn w:val="a"/>
    <w:pPr>
      <w:jc w:val="center"/>
    </w:pPr>
    <w:rPr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customStyle="1" w:styleId="31">
    <w:name w:val="Основной текст 31"/>
    <w:basedOn w:val="a"/>
    <w:pPr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5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6B6A679A21D2CE92F4BEAA9B94B42A5D64E60798E90EFC6F47DA208A9BAEyCG" TargetMode="External"/><Relationship Id="rId26" Type="http://schemas.openxmlformats.org/officeDocument/2006/relationships/hyperlink" Target="consultantplus://offline/ref=6B6A679A21D2CE92F4BEAA9B94B42A5D63E20095E30DA1654F832C88A9yCG" TargetMode="External"/><Relationship Id="rId39" Type="http://schemas.openxmlformats.org/officeDocument/2006/relationships/hyperlink" Target="garantF1://12036354.1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B6A679A21D2CE92F4BEAA9B94B42A5D62E2059BE20DA1654F832C88A9yCG" TargetMode="External"/><Relationship Id="rId34" Type="http://schemas.openxmlformats.org/officeDocument/2006/relationships/hyperlink" Target="consultantplus://offline/ref=6B6A679A21D2CE92F4BEAA9B94B42A5D67E2079CE306FC6F47DA208A9BAEyCG" TargetMode="External"/><Relationship Id="rId42" Type="http://schemas.openxmlformats.org/officeDocument/2006/relationships/hyperlink" Target="garantF1://12036354.57" TargetMode="External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6B6A679A21D2CE92F4BEAA9B94B42A5D64E4079EE804FC6F47DA208A9BAEyCG" TargetMode="External"/><Relationship Id="rId25" Type="http://schemas.openxmlformats.org/officeDocument/2006/relationships/hyperlink" Target="consultantplus://offline/ref=6B6A679A21D2CE92F4BEAA9B94B42A5D63E5079FEB0DA1654F832C88A9yCG" TargetMode="External"/><Relationship Id="rId33" Type="http://schemas.openxmlformats.org/officeDocument/2006/relationships/hyperlink" Target="consultantplus://offline/ref=6B6A679A21D2CE92F4BEAA9B94B42A5D67E5029DE204FC6F47DA208A9BAEyCG" TargetMode="External"/><Relationship Id="rId38" Type="http://schemas.openxmlformats.org/officeDocument/2006/relationships/hyperlink" Target="garantF1://12036354.14" TargetMode="External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B6A679A21D2CE92F4BEAA9B94B42A5D64E70599E205FC6F47DA208A9BAEyCG" TargetMode="External"/><Relationship Id="rId20" Type="http://schemas.openxmlformats.org/officeDocument/2006/relationships/hyperlink" Target="consultantplus://offline/ref=6B6A679A21D2CE92F4BEAA9B94B42A5D67EF0795E207FC6F47DA208A9BAEyCG" TargetMode="External"/><Relationship Id="rId29" Type="http://schemas.openxmlformats.org/officeDocument/2006/relationships/hyperlink" Target="consultantplus://offline/ref=6B6A679A21D2CE92F4BEAA9B94B42A5D67E10F99EB07FC6F47DA208A9BAEyCG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6B6A679A21D2CE92F4BEAA9B94B42A5D67E0039EEB0EFC6F47DA208A9BAEyCG" TargetMode="External"/><Relationship Id="rId32" Type="http://schemas.openxmlformats.org/officeDocument/2006/relationships/hyperlink" Target="consultantplus://offline/ref=6B6A679A21D2CE92F4BEAA9B94B42A5D67E5029CEB05FC6F47DA208A9BAEyCG" TargetMode="External"/><Relationship Id="rId37" Type="http://schemas.openxmlformats.org/officeDocument/2006/relationships/hyperlink" Target="consultantplus://offline/ref=E254E5010743496FCDF586F84481D19B8562001CC163E1FE2FB8BDE119g6pCI" TargetMode="External"/><Relationship Id="rId40" Type="http://schemas.openxmlformats.org/officeDocument/2006/relationships/hyperlink" Target="garantF1://12036354.17" TargetMode="External"/><Relationship Id="rId45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6A679A21D2CE92F4BEAA9B94B42A5D64E7059EEF06FC6F47DA208A9BAEyCG" TargetMode="External"/><Relationship Id="rId23" Type="http://schemas.openxmlformats.org/officeDocument/2006/relationships/hyperlink" Target="consultantplus://offline/ref=6B6A679A21D2CE92F4BEAA9B94B42A5D67EE029CE20FFC6F47DA208A9BAEyCG" TargetMode="External"/><Relationship Id="rId28" Type="http://schemas.openxmlformats.org/officeDocument/2006/relationships/hyperlink" Target="consultantplus://offline/ref=6B6A679A21D2CE92F4BEAA9B94B42A5D67E40798EF04FC6F47DA208A9BAEyCG" TargetMode="External"/><Relationship Id="rId36" Type="http://schemas.openxmlformats.org/officeDocument/2006/relationships/hyperlink" Target="consultantplus://offline/ref=E254E5010743496FCDF586F84481D19B8665091CC765E1FE2FB8BDE119g6pCI" TargetMode="External"/><Relationship Id="rId49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6B6A679A21D2CE92F4BEAA9B94B42A5D64E4069EE207FC6F47DA208A9BAEyCG" TargetMode="External"/><Relationship Id="rId31" Type="http://schemas.openxmlformats.org/officeDocument/2006/relationships/hyperlink" Target="consultantplus://offline/ref=6B6A679A21D2CE92F4BEAA9B94B42A5D67E10F9BE202FC6F47DA208A9BAEyCG" TargetMode="External"/><Relationship Id="rId44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6B6A679A21D2CE92F4BEAA9B94B42A5D64E4079BED01FC6F47DA208A9BAEyCG" TargetMode="External"/><Relationship Id="rId22" Type="http://schemas.openxmlformats.org/officeDocument/2006/relationships/hyperlink" Target="consultantplus://offline/ref=6B6A679A21D2CE92F4BEAA9B94B42A5D64E70F9DE202FC6F47DA208A9BAEyCG" TargetMode="External"/><Relationship Id="rId27" Type="http://schemas.openxmlformats.org/officeDocument/2006/relationships/hyperlink" Target="consultantplus://offline/ref=6B6A679A21D2CE92F4BEAA9B94B42A5D6FE00F98E20DA1654F832C88A9yCG" TargetMode="External"/><Relationship Id="rId30" Type="http://schemas.openxmlformats.org/officeDocument/2006/relationships/hyperlink" Target="consultantplus://offline/ref=6B6A679A21D2CE92F4BEAA9B94B42A5D67E10E9DE90FFC6F47DA208A9BAEyCG" TargetMode="External"/><Relationship Id="rId35" Type="http://schemas.openxmlformats.org/officeDocument/2006/relationships/hyperlink" Target="consultantplus://offline/ref=6B6A679A21D2CE92F4BEAA9B94B42A5D64E7069AE206FC6F47DA208A9BAEyCG" TargetMode="External"/><Relationship Id="rId43" Type="http://schemas.openxmlformats.org/officeDocument/2006/relationships/hyperlink" Target="garantF1://84842.1000" TargetMode="External"/><Relationship Id="rId48" Type="http://schemas.openxmlformats.org/officeDocument/2006/relationships/footer" Target="footer1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3480</Words>
  <Characters>19839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23273</CharactersWithSpaces>
  <SharedDoc>false</SharedDoc>
  <HLinks>
    <vt:vector size="228" baseType="variant">
      <vt:variant>
        <vt:i4>8257599</vt:i4>
      </vt:variant>
      <vt:variant>
        <vt:i4>111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108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105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102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786521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262145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consultantplus://offline/ref=6B6A679A21D2CE92F4BEAA9B94B42A5D64E7069AE206FC6F47DA208A9BAEyCG</vt:lpwstr>
      </vt:variant>
      <vt:variant>
        <vt:lpwstr/>
      </vt:variant>
      <vt:variant>
        <vt:i4>262149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consultantplus://offline/ref=6B6A679A21D2CE92F4BEAA9B94B42A5D67E2079CE306FC6F47DA208A9BAEyCG</vt:lpwstr>
      </vt:variant>
      <vt:variant>
        <vt:lpwstr/>
      </vt:variant>
      <vt:variant>
        <vt:i4>262147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consultantplus://offline/ref=6B6A679A21D2CE92F4BEAA9B94B42A5D67E5029DE204FC6F47DA208A9BAEyCG</vt:lpwstr>
      </vt:variant>
      <vt:variant>
        <vt:lpwstr/>
      </vt:variant>
      <vt:variant>
        <vt:i4>262229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consultantplus://offline/ref=6B6A679A21D2CE92F4BEAA9B94B42A5D67E5029CEB05FC6F47DA208A9BAEyCG</vt:lpwstr>
      </vt:variant>
      <vt:variant>
        <vt:lpwstr/>
      </vt:variant>
      <vt:variant>
        <vt:i4>262227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consultantplus://offline/ref=6B6A679A21D2CE92F4BEAA9B94B42A5D67E10F9BE202FC6F47DA208A9BAEyCG</vt:lpwstr>
      </vt:variant>
      <vt:variant>
        <vt:lpwstr/>
      </vt:variant>
      <vt:variant>
        <vt:i4>262153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consultantplus://offline/ref=6B6A679A21D2CE92F4BEAA9B94B42A5D67E10E9DE90FFC6F47DA208A9BAEyCG</vt:lpwstr>
      </vt:variant>
      <vt:variant>
        <vt:lpwstr/>
      </vt:variant>
      <vt:variant>
        <vt:i4>262237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consultantplus://offline/ref=6B6A679A21D2CE92F4BEAA9B94B42A5D67E10F99EB07FC6F47DA208A9BAEyCG</vt:lpwstr>
      </vt:variant>
      <vt:variant>
        <vt:lpwstr/>
      </vt:variant>
      <vt:variant>
        <vt:i4>262159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consultantplus://offline/ref=6B6A679A21D2CE92F4BEAA9B94B42A5D67E40798EF04FC6F47DA208A9BAEyCG</vt:lpwstr>
      </vt:variant>
      <vt:variant>
        <vt:lpwstr/>
      </vt:variant>
      <vt:variant>
        <vt:i4>6684729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consultantplus://offline/ref=6B6A679A21D2CE92F4BEAA9B94B42A5D6FE00F98E20DA1654F832C88A9yCG</vt:lpwstr>
      </vt:variant>
      <vt:variant>
        <vt:lpwstr/>
      </vt:variant>
      <vt:variant>
        <vt:i4>6684724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consultantplus://offline/ref=6B6A679A21D2CE92F4BEAA9B94B42A5D63E20095E30DA1654F832C88A9yCG</vt:lpwstr>
      </vt:variant>
      <vt:variant>
        <vt:lpwstr/>
      </vt:variant>
      <vt:variant>
        <vt:i4>6684726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consultantplus://offline/ref=6B6A679A21D2CE92F4BEAA9B94B42A5D63E5079FEB0DA1654F832C88A9yCG</vt:lpwstr>
      </vt:variant>
      <vt:variant>
        <vt:lpwstr/>
      </vt:variant>
      <vt:variant>
        <vt:i4>262151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consultantplus://offline/ref=6B6A679A21D2CE92F4BEAA9B94B42A5D67E0039EEB0EFC6F47DA208A9BAEyCG</vt:lpwstr>
      </vt:variant>
      <vt:variant>
        <vt:lpwstr/>
      </vt:variant>
      <vt:variant>
        <vt:i4>262150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consultantplus://offline/ref=6B6A679A21D2CE92F4BEAA9B94B42A5D67EE029CE20FFC6F47DA208A9BAEyCG</vt:lpwstr>
      </vt:variant>
      <vt:variant>
        <vt:lpwstr/>
      </vt:variant>
      <vt:variant>
        <vt:i4>262224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consultantplus://offline/ref=6B6A679A21D2CE92F4BEAA9B94B42A5D64E70F9DE202FC6F47DA208A9BAEyCG</vt:lpwstr>
      </vt:variant>
      <vt:variant>
        <vt:lpwstr/>
      </vt:variant>
      <vt:variant>
        <vt:i4>6684774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consultantplus://offline/ref=6B6A679A21D2CE92F4BEAA9B94B42A5D62E2059BE20DA1654F832C88A9yCG</vt:lpwstr>
      </vt:variant>
      <vt:variant>
        <vt:lpwstr/>
      </vt:variant>
      <vt:variant>
        <vt:i4>262151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consultantplus://offline/ref=6B6A679A21D2CE92F4BEAA9B94B42A5D67EF0795E207FC6F47DA208A9BAEyCG</vt:lpwstr>
      </vt:variant>
      <vt:variant>
        <vt:lpwstr/>
      </vt:variant>
      <vt:variant>
        <vt:i4>262151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consultantplus://offline/ref=6B6A679A21D2CE92F4BEAA9B94B42A5D64E4069EE207FC6F47DA208A9BAEyCG</vt:lpwstr>
      </vt:variant>
      <vt:variant>
        <vt:lpwstr/>
      </vt:variant>
      <vt:variant>
        <vt:i4>262144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consultantplus://offline/ref=6B6A679A21D2CE92F4BEAA9B94B42A5D64E60798E90EFC6F47DA208A9BAEyCG</vt:lpwstr>
      </vt:variant>
      <vt:variant>
        <vt:lpwstr/>
      </vt:variant>
      <vt:variant>
        <vt:i4>262159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consultantplus://offline/ref=6B6A679A21D2CE92F4BEAA9B94B42A5D64E4079EE804FC6F47DA208A9BAEyCG</vt:lpwstr>
      </vt:variant>
      <vt:variant>
        <vt:lpwstr/>
      </vt:variant>
      <vt:variant>
        <vt:i4>262233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consultantplus://offline/ref=6B6A679A21D2CE92F4BEAA9B94B42A5D64E70599E205FC6F47DA208A9BAEyCG</vt:lpwstr>
      </vt:variant>
      <vt:variant>
        <vt:lpwstr/>
      </vt:variant>
      <vt:variant>
        <vt:i4>262226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consultantplus://offline/ref=6B6A679A21D2CE92F4BEAA9B94B42A5D64E7059EEF06FC6F47DA208A9BAEyCG</vt:lpwstr>
      </vt:variant>
      <vt:variant>
        <vt:lpwstr/>
      </vt:variant>
      <vt:variant>
        <vt:i4>262225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consultantplus://offline/ref=6B6A679A21D2CE92F4BEAA9B94B42A5D64E4079BED01FC6F47DA208A9BAEyCG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Данилова Виктория Олеговна</cp:lastModifiedBy>
  <cp:revision>2</cp:revision>
  <cp:lastPrinted>2017-12-12T06:54:00Z</cp:lastPrinted>
  <dcterms:created xsi:type="dcterms:W3CDTF">2021-07-22T06:13:00Z</dcterms:created>
  <dcterms:modified xsi:type="dcterms:W3CDTF">2021-07-22T06:13:00Z</dcterms:modified>
</cp:coreProperties>
</file>